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Hisco’s Annual Report</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 Name</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72725" w:rsidRDefault="002B7FB6"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lastRenderedPageBreak/>
        <w:t>C</w:t>
      </w:r>
      <w:r w:rsidR="00C17128">
        <w:rPr>
          <w:rFonts w:ascii="Times New Roman" w:hAnsi="Times New Roman" w:cs="Times New Roman"/>
          <w:sz w:val="24"/>
          <w:szCs w:val="24"/>
        </w:rPr>
        <w:t>.</w:t>
      </w:r>
      <w:r w:rsidRPr="004D70B4">
        <w:rPr>
          <w:rFonts w:ascii="Times New Roman" w:hAnsi="Times New Roman" w:cs="Times New Roman"/>
          <w:sz w:val="24"/>
          <w:szCs w:val="24"/>
        </w:rPr>
        <w:t>E</w:t>
      </w:r>
      <w:r w:rsidR="00C17128">
        <w:rPr>
          <w:rFonts w:ascii="Times New Roman" w:hAnsi="Times New Roman" w:cs="Times New Roman"/>
          <w:sz w:val="24"/>
          <w:szCs w:val="24"/>
        </w:rPr>
        <w:t>.</w:t>
      </w:r>
      <w:r w:rsidRPr="004D70B4">
        <w:rPr>
          <w:rFonts w:ascii="Times New Roman" w:hAnsi="Times New Roman" w:cs="Times New Roman"/>
          <w:sz w:val="24"/>
          <w:szCs w:val="24"/>
        </w:rPr>
        <w:t>O</w:t>
      </w:r>
      <w:r w:rsidR="00C17128">
        <w:rPr>
          <w:rFonts w:ascii="Times New Roman" w:hAnsi="Times New Roman" w:cs="Times New Roman"/>
          <w:sz w:val="24"/>
          <w:szCs w:val="24"/>
        </w:rPr>
        <w:t xml:space="preserve">. 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7</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Feb 2020</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Company</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Pr="004D70B4"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Dear Mr. / Ms. </w:t>
      </w:r>
    </w:p>
    <w:p w:rsidR="009C4075" w:rsidRPr="009C4075" w:rsidRDefault="009C4075" w:rsidP="009C4075">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This year has been my first as the CEO of this great company and I understand how rapid it has been. It has been a successful year but there can’t lack one or two difficulties that had to be experienced. This year, we were able to build on Hisco’s strengths, worked out some important stages, and built energizing new stages. Being the 7</w:t>
      </w:r>
      <w:r w:rsidRPr="009C4075">
        <w:rPr>
          <w:rFonts w:ascii="inherit" w:eastAsia="Times New Roman" w:hAnsi="inherit" w:cs="Times New Roman"/>
          <w:sz w:val="24"/>
          <w:szCs w:val="24"/>
          <w:bdr w:val="none" w:sz="0" w:space="0" w:color="auto" w:frame="1"/>
          <w:vertAlign w:val="superscript"/>
        </w:rPr>
        <w:t>th</w:t>
      </w:r>
      <w:r w:rsidRPr="009C4075">
        <w:rPr>
          <w:rFonts w:ascii="Times New Roman" w:eastAsia="Times New Roman" w:hAnsi="Times New Roman" w:cs="Times New Roman"/>
          <w:sz w:val="24"/>
          <w:szCs w:val="24"/>
          <w:bdr w:val="none" w:sz="0" w:space="0" w:color="auto" w:frame="1"/>
        </w:rPr>
        <w:t> CEO in the history of this company, culturally I ought to lead the legacy of achievement assuring all shareholders of a secure Hisco. In faith, we have kept a spirit of motivation that has been implicated to shareholders as well. Through this letter, I express my gratitude to have lead and to continue leading the great Hiscoans.</w:t>
      </w:r>
    </w:p>
    <w:p w:rsidR="009C4075" w:rsidRPr="009C4075" w:rsidRDefault="009C4075" w:rsidP="009C4075">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From the time I began my service as the Hisco CEO, I have seen a transition of the associates of the company to the growing and mature organization that it has become. Notably, changes in official commitments of the economy to the development of technology to impact the business positively have also been witnessed. I have been driven by the spirit of service believing that offering the best medical service to the community is the noblest test. This is, in other words, saying that I find satisfaction in how we're able to meet our obligation as a company – helping people live joyful and beneficial lives by being healthy. I still aspire to do more than I was able to do within my time in this great company.</w:t>
      </w:r>
    </w:p>
    <w:p w:rsidR="009C4075" w:rsidRPr="009C4075" w:rsidRDefault="009C4075" w:rsidP="009C4075">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Central to the company’s Credo and the important support system are specific zones that guarantee growth and development for the company in the future – growth drivers. To keep our dedication with relevance, we need consistent new ideas that distinctively deal with new problems and arising issues in our service. We ought to enliven our worldwide achievement with a neighborhood center purposely to concentrate leadership to where it is required and to where assets are – decentralized administration. The lesser focus will be assumed in as far as execution is concerned. It has been witnessed that the company had much responsibility geared into quality to impress pioneers. A reclassification of models and procedures in the inventory network has been meant to improve quality and consistency. This has leveled up execution thus enhancing efficiency. Hisco is deemed to keep up with the spirit of fostering a reason-driven culture as an association and coming up with initiatives at every level in the company. This is important for us because we have to uptake the responsibilities that link the global administration. I am impressed by the advancement we have achieved in the event of achieving our goal and purpose of nurturing individuals and thus the world. The world, however, has many disparities and we have to be mindful of them. This is why we are always called to offer assistance in the capacities that we land in to unwind the gap created by these disparities. There are difficulties that we encounter in daily operations because the business environment keeps on changing from time to the other and enough time and commitment are needed to address the same.</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Thanks!</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CEO</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Stan Sloane Letter</w:t>
      </w:r>
    </w:p>
    <w:p w:rsidR="00C17128" w:rsidRDefault="00C17128"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C</w:t>
      </w:r>
      <w:r>
        <w:rPr>
          <w:rFonts w:ascii="Times New Roman" w:hAnsi="Times New Roman" w:cs="Times New Roman"/>
          <w:sz w:val="24"/>
          <w:szCs w:val="24"/>
        </w:rPr>
        <w:t>.</w:t>
      </w:r>
      <w:r w:rsidRPr="004D70B4">
        <w:rPr>
          <w:rFonts w:ascii="Times New Roman" w:hAnsi="Times New Roman" w:cs="Times New Roman"/>
          <w:sz w:val="24"/>
          <w:szCs w:val="24"/>
        </w:rPr>
        <w:t>E</w:t>
      </w:r>
      <w:r>
        <w:rPr>
          <w:rFonts w:ascii="Times New Roman" w:hAnsi="Times New Roman" w:cs="Times New Roman"/>
          <w:sz w:val="24"/>
          <w:szCs w:val="24"/>
        </w:rPr>
        <w:t>.</w:t>
      </w:r>
      <w:r w:rsidRPr="004D70B4">
        <w:rPr>
          <w:rFonts w:ascii="Times New Roman" w:hAnsi="Times New Roman" w:cs="Times New Roman"/>
          <w:sz w:val="24"/>
          <w:szCs w:val="24"/>
        </w:rPr>
        <w:t>O</w:t>
      </w:r>
      <w:r>
        <w:rPr>
          <w:rFonts w:ascii="Times New Roman" w:hAnsi="Times New Roman" w:cs="Times New Roman"/>
          <w:sz w:val="24"/>
          <w:szCs w:val="24"/>
        </w:rPr>
        <w:t xml:space="preserve">. 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7</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Feb 2020</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Company</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F062F1"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Dear Sir, </w:t>
      </w:r>
    </w:p>
    <w:p w:rsid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In this letter, I am privileged to present my position as well as my strategic measures as the Hisco CEO in a bid to achieve the expansion goals and growing shareholder’s wealth.</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Running the Hisco Company has been an excellent experience. I was able to realize and effect important changes that turned operations, sales, and revenues. The company had vowed to commit to the provision of quality medical reader services even with a SWOT that was not well applied and formulated. For this matter, I was forced to adjust particular things and build on the company strengths as a way of overcoming weaknesses and at the same time exploiting possible opportunities and resisting threats. Talking of strengths, as a company we invested in research and technology to assist in designing quality medical readers with the use of minimum labor and costs for that case. The benefits of the measure will out beat the costs of the investment in the near future. The investment in technology will also help the company’s research role and will provide environmentally friendly products. In consideration of the ability to make use of the market opportunities, product type has been changed by the revolution of speedy readers with a 30 percent increase in speed, efficiency, and accuracy. The new readers are very efficient as they use recyclable and non-heat sensitive paper that is environmentally sound. This is deemed to expand the market share by about 15 percent. Our diversification strategy has enabled the company to exploit opportunities in market segments while solving competition threats and risks of one product dependence.</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            The strategic changes I have adopted for this business have been a perfect match with the industry trends and expectations of growth. The specific sector of the business has technology and innovations emerging as a pillar to enhance production efficiency, product quality, competitive advantage, and digital marketing. For this matter, the changes purposed in advertising will be used to fund digital marketing to establish an online interaction with clients (Kannan, 2019). With this, therefore, get an assurance that once the latter is implemented, the business will have a competitive advantage, be more profitable, and grow tremendously within the next 2 years.</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            The company has not been able to realize financial benefits in the short-run despite the viable moves that it is taking in regard to changing R &amp; D projects and the use of technology. The experienced rise in expenses is a result of the investments we are making and the cost of the projects we are assuming. In the event of lowering the labor force by using digital marketing and integration of the supply chain, we experienced high labor costs because of contracting new and highly skilled talents (Kannan, 2019).</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Hisco Company is apparently the last in terms of sales volume when compared to Matek and Redex but leads in terms of net income. This means that the company generates the highest incomes from the least sales volumes courtesy of quality improvement and cost efficiency in its supply chain. Return on Capital and cash flows for the company leads as compared to these other companies. This means that the company is the best of all these and might be leading in the entire industry. The negotiations we began with stakeholders like suppliers, employees, and investors to expand and/or maintain their commitments will help the company perform well in the future.</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I am so confident with this company because I believe that it is fueled with a clear vision, strategy, and goals that are shared amongst all parties. Currently, the commitment that Hisco has is to do away with the net loss region by optimizing company performance in implementing strategic changes. A culture of teamwork has been created that enhances communication, innovation, and resource use. Digital marketing strategies have been initiated as well since customers drive any business idea. All these have been geared towards the improvement of production, marketing, and employee performance.</w:t>
      </w:r>
    </w:p>
    <w:p w:rsidR="009C4075" w:rsidRPr="009C4075" w:rsidRDefault="009C4075" w:rsidP="009C4075">
      <w:pPr>
        <w:spacing w:after="100" w:line="480" w:lineRule="auto"/>
        <w:rPr>
          <w:rFonts w:ascii="Times New Roman" w:eastAsia="Times New Roman" w:hAnsi="Times New Roman" w:cs="Times New Roman"/>
          <w:sz w:val="20"/>
          <w:szCs w:val="20"/>
        </w:rPr>
      </w:pPr>
      <w:r w:rsidRPr="009C4075">
        <w:rPr>
          <w:rFonts w:ascii="Times New Roman" w:eastAsia="Times New Roman" w:hAnsi="Times New Roman" w:cs="Times New Roman"/>
          <w:sz w:val="24"/>
          <w:szCs w:val="24"/>
          <w:bdr w:val="none" w:sz="0" w:space="0" w:color="auto" w:frame="1"/>
        </w:rPr>
        <w:t>I continue to render my services to realize the fulfillment of the company dreams. Thank you for believing in me. </w:t>
      </w:r>
    </w:p>
    <w:p w:rsidR="009F6990" w:rsidRDefault="009F6990" w:rsidP="009C4075">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Regards </w:t>
      </w:r>
    </w:p>
    <w:p w:rsidR="009F6990" w:rsidRDefault="009F6990"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John </w:t>
      </w:r>
    </w:p>
    <w:p w:rsidR="00C17128" w:rsidRDefault="009F6990"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CEO.</w:t>
      </w:r>
    </w:p>
    <w:p w:rsidR="00C17128" w:rsidRPr="004D70B4" w:rsidRDefault="00C17128" w:rsidP="00BA638A">
      <w:pPr>
        <w:spacing w:after="100" w:line="480" w:lineRule="auto"/>
        <w:ind w:firstLine="0"/>
        <w:rPr>
          <w:rFonts w:ascii="Times New Roman" w:hAnsi="Times New Roman" w:cs="Times New Roman"/>
          <w:sz w:val="24"/>
          <w:szCs w:val="24"/>
        </w:rPr>
      </w:pPr>
    </w:p>
    <w:p w:rsidR="00570B8C" w:rsidRPr="004D70B4" w:rsidRDefault="00570B8C" w:rsidP="00BA638A">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Sales, Marketing &amp; Industry</w:t>
      </w:r>
    </w:p>
    <w:p w:rsidR="00570B8C" w:rsidRPr="004D70B4" w:rsidRDefault="00570B8C"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Innovative products </w:t>
      </w:r>
    </w:p>
    <w:p w:rsidR="009C4075" w:rsidRPr="009C4075" w:rsidRDefault="009C4075" w:rsidP="00382360">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Hisco’s developed business segments have exemplified consistent dependence on the strengths that have been capitalized on and capacities by coming up with noble commodities, overhauling the company as we promote the products and strategies to huge profit growth and advancements. Through this time, we managed to obtain new, initiated vivify, and typical innovations that have strengthened the company position in a number of categories. In the course of 2015, we managed to grow the level of specificity in the company targeting customers in different countries (consumer niche sections). The development of business plans, goals, strategies, and aims of a business is impacted by market data like a demand that propels social affairs (DeGennaro, 2017). Our company (Hisco) is centered on changes that widen the relevance of specific courses of action that are assumed to grow the outlook of the company. This is to mean a capacity to flex helping the business fraternity to remain in synchrony with the time of the current and of the future in grasping and making use of lessons that have impacts on us, the customers, and the products. This achievement ought to be maintained through thick and thin as it unleashes the overall company potential. </w:t>
      </w:r>
    </w:p>
    <w:p w:rsidR="009C4075" w:rsidRPr="009C4075" w:rsidRDefault="009C4075" w:rsidP="00382360">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To Hisco, business success will and has been determined by the outright continuous scaling up of processes from time to time. Progression and innovation of products has been one of the most vital business parts. It has availed the opportunity to objectively design and innovate creating awareness of important products to the public. All in all, Hisco’s most prime objective is to primarily exercise innovativeness as a way to influence useful and beneficial products in the industry market. This is by itself an inspiration that drives the spreading of a range of clusters and advancement centers around the world. Some pillar of data (ventilation, refrigeration, and warming powers) developed with mechanical assemblies and true processes is a dependable thing that propels business edges ahead. In Hisco’s product range progression and development depend greatly on the company standards and values. The main work is to impose things that are direct keeping up and eventually ensuring that the specific data is easily accessible to management, product developers, and customers.</w:t>
      </w:r>
    </w:p>
    <w:p w:rsidR="009C4075" w:rsidRPr="009C4075" w:rsidRDefault="009C4075" w:rsidP="00382360">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Hisco's research and development team has been extended to contain designers and the equipment they use under one umbrella. Plans are to customize the development center in India such that its passages are opened during mid-year. In the other markets, the company specialists and bargains work constraints learn by staying aware of what is happening in the market. The targeted segment bundles include chairpersons, contenders, and open powers. The jigsaw puzzle is incorporated by joining its imperative bits to give important segments for the company to act and keep a consistent basic edge.</w:t>
      </w:r>
    </w:p>
    <w:p w:rsidR="009C4075" w:rsidRPr="009C4075" w:rsidRDefault="009C4075" w:rsidP="00382360">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Hisco needs to be at a phase before its contenders since the ventilation range is a non-patent-controlled industry and for that reason, it makes some contenders in unending hope to copy advancements. There is the need to remain vigilant and keep customer awareness for whatever changes in models or sanctioning. Open forces coordinate things to change ventilation. The company is glued blindly in demand to be needed in highlighting the importance of engagement. For example, the period when the EU fixes the next steps in Eco-design rather Energy Declarations. Differing opinions in Europe are important because they are dependent on when stricter changes are being approached reflecting diversely over markets. The innovation principle that Hisco has relied on is the effective exercise of management and standardization of products and product equals &amp; unending improvement and promotion of its products competitively and lucratively in our business segment.</w:t>
      </w:r>
    </w:p>
    <w:p w:rsidR="009C4075" w:rsidRPr="009C4075" w:rsidRDefault="009C4075" w:rsidP="00382360">
      <w:pPr>
        <w:spacing w:after="100" w:line="480" w:lineRule="auto"/>
        <w:rPr>
          <w:rFonts w:ascii="inherit" w:eastAsia="Times New Roman" w:hAnsi="inherit" w:cs="Times New Roman"/>
          <w:sz w:val="20"/>
          <w:szCs w:val="20"/>
        </w:rPr>
      </w:pPr>
      <w:r w:rsidRPr="009C4075">
        <w:rPr>
          <w:rFonts w:ascii="Times New Roman" w:eastAsia="Times New Roman" w:hAnsi="Times New Roman" w:cs="Times New Roman"/>
          <w:sz w:val="24"/>
          <w:szCs w:val="24"/>
          <w:bdr w:val="none" w:sz="0" w:space="0" w:color="auto" w:frame="1"/>
        </w:rPr>
        <w:t>Hisco has come out dynamically on matters innovation considering the occurrences we have made in terms of making undertakings and affirming frames in the innovation of new products. Our company believed that innovations were all about how genuine it is and how it can be trusted by the customers without any doubts about failing to remain relevant after some time. Considering the trends in the market and what customers might demand over time (standardized sorts of an assertion), things have to be reviewed because there are justifications for the same which are very genuine. The role of management is not in any way confined to products but to the justifications behind its set up. A grade develop exhibit has a fundamental use since it focuses on the light of advantaging the client; through it, people get more time conscious and waste none and this draws out augmentation costs and deferrals.</w:t>
      </w:r>
    </w:p>
    <w:p w:rsidR="00982A33" w:rsidRPr="004D70B4" w:rsidRDefault="00982A33" w:rsidP="00382360">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Financial Statements</w:t>
      </w:r>
    </w:p>
    <w:p w:rsidR="004967E3" w:rsidRPr="004D70B4" w:rsidRDefault="004967E3" w:rsidP="00BA638A">
      <w:pPr>
        <w:pStyle w:val="ListParagraph"/>
        <w:numPr>
          <w:ilvl w:val="0"/>
          <w:numId w:val="1"/>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The Income Statement </w:t>
      </w:r>
    </w:p>
    <w:p w:rsidR="00335FE1"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extent cx="6472052" cy="262382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9530" cy="2634960"/>
                    </a:xfrm>
                    <a:prstGeom prst="rect">
                      <a:avLst/>
                    </a:prstGeom>
                    <a:noFill/>
                    <a:ln>
                      <a:noFill/>
                    </a:ln>
                  </pic:spPr>
                </pic:pic>
              </a:graphicData>
            </a:graphic>
          </wp:inline>
        </w:drawing>
      </w:r>
    </w:p>
    <w:p w:rsidR="00335FE1" w:rsidRPr="004D70B4" w:rsidRDefault="00335FE1" w:rsidP="00BA638A">
      <w:pPr>
        <w:pStyle w:val="ListParagraph"/>
        <w:numPr>
          <w:ilvl w:val="0"/>
          <w:numId w:val="1"/>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Cash Flow </w:t>
      </w:r>
    </w:p>
    <w:p w:rsidR="004967E3"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14:anchorId="1F26E00E" wp14:editId="316E44C4">
            <wp:extent cx="6448301" cy="271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1649" cy="2715399"/>
                    </a:xfrm>
                    <a:prstGeom prst="rect">
                      <a:avLst/>
                    </a:prstGeom>
                    <a:noFill/>
                    <a:ln>
                      <a:noFill/>
                    </a:ln>
                  </pic:spPr>
                </pic:pic>
              </a:graphicData>
            </a:graphic>
          </wp:inline>
        </w:drawing>
      </w:r>
    </w:p>
    <w:p w:rsidR="00335FE1" w:rsidRPr="004D70B4" w:rsidRDefault="00335FE1" w:rsidP="00BA638A">
      <w:pPr>
        <w:pStyle w:val="ListParagraph"/>
        <w:numPr>
          <w:ilvl w:val="0"/>
          <w:numId w:val="1"/>
        </w:numPr>
        <w:spacing w:after="100" w:line="480" w:lineRule="auto"/>
        <w:ind w:left="0"/>
        <w:rPr>
          <w:rFonts w:ascii="Times New Roman" w:hAnsi="Times New Roman" w:cs="Times New Roman"/>
          <w:sz w:val="24"/>
          <w:szCs w:val="24"/>
        </w:rPr>
      </w:pPr>
    </w:p>
    <w:p w:rsidR="004967E3"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extent cx="6518798" cy="2612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2431" cy="2625868"/>
                    </a:xfrm>
                    <a:prstGeom prst="rect">
                      <a:avLst/>
                    </a:prstGeom>
                    <a:noFill/>
                    <a:ln>
                      <a:noFill/>
                    </a:ln>
                  </pic:spPr>
                </pic:pic>
              </a:graphicData>
            </a:graphic>
          </wp:inline>
        </w:drawing>
      </w:r>
    </w:p>
    <w:p w:rsidR="00382360" w:rsidRPr="00382360" w:rsidRDefault="003B012F" w:rsidP="00382360">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ab/>
      </w:r>
      <w:r w:rsidR="00382360" w:rsidRPr="00382360">
        <w:rPr>
          <w:rFonts w:ascii="Times New Roman" w:hAnsi="Times New Roman" w:cs="Times New Roman"/>
          <w:sz w:val="24"/>
          <w:szCs w:val="24"/>
        </w:rPr>
        <w:t xml:space="preserve">To come up with these reports related to cash, Hisco Company makes use of estimations, affirmations, and introduction basics of International Cash related Reporting Standards as required by the International Financial Reporting Standards. Yet still, the company makes necessary adjustments whenever needful bearing in mind that the ultimate objective is to conform to the 2006 Companies Act and this means the availability of preferred outlook of </w:t>
      </w:r>
      <w:r w:rsidR="00382360">
        <w:rPr>
          <w:rFonts w:ascii="Times New Roman" w:hAnsi="Times New Roman" w:cs="Times New Roman"/>
          <w:sz w:val="24"/>
          <w:szCs w:val="24"/>
        </w:rPr>
        <w:t>specific disclosure exemptions.</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FRS 101 was taken and these incorporations made relating with: comparative period bargains, disclosures tandem with capital organizations, disclosures in respect of the compensation key, wage clarification, and related notes, disclosures in respect to trades which had total reinforcements, organizational personnel, and the effects of new though not yet convincing IFRS. Since the consolidated explanations of cash relations of the group assemble relative exposures, the company made a move and taken the rejections available under FRS 101 is due respect to disclosures availabl</w:t>
      </w:r>
      <w:r>
        <w:rPr>
          <w:rFonts w:ascii="Times New Roman" w:hAnsi="Times New Roman" w:cs="Times New Roman"/>
          <w:sz w:val="24"/>
          <w:szCs w:val="24"/>
        </w:rPr>
        <w:t>e under the IFRS 2 shares base.</w:t>
      </w:r>
    </w:p>
    <w:p w:rsidR="00382360" w:rsidRPr="00382360" w:rsidRDefault="00382360" w:rsidP="00382360">
      <w:pPr>
        <w:spacing w:after="100" w:line="480" w:lineRule="auto"/>
        <w:ind w:firstLine="0"/>
        <w:rPr>
          <w:rFonts w:ascii="Times New Roman" w:hAnsi="Times New Roman" w:cs="Times New Roman"/>
          <w:sz w:val="24"/>
          <w:szCs w:val="24"/>
        </w:rPr>
      </w:pPr>
      <w:r w:rsidRPr="00382360">
        <w:rPr>
          <w:rFonts w:ascii="Times New Roman" w:hAnsi="Times New Roman" w:cs="Times New Roman"/>
          <w:sz w:val="24"/>
          <w:szCs w:val="24"/>
        </w:rPr>
        <w:t>Portion Related to Group-Settled Share-Based Portions</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Having moved from the Generally Accepted Accounting Principles within the United Kingdom to FRS 101, Hisco made associations of IFRS 1 1st-time adoption of International Financial Reporting Standards putting in place that this remains favorable such that liabilities are gauged tandem with FRS 101 provisions. Nothing was in the place to ascertain the application of FRS 101; not even material estimation or officially reported aggregates affirming alterations made. The declarations related to cash was made under the requirements of undeniable cost customs and not as required in the accounting approach under instruments of budgets (Kieso et al., 2019). Putting cash related clarifications in order calls for Director Evaluations and propositions which affect reported aggregates of costs, livelihoods, asset &amp; liability bases, and the unveiling of un-seeable outside claims during the time of the money-related clarifications. The basic and important propositions and evaluations are set out under the underlying accounting techniques plus the notes correspondent to the records. The Companies Act of 2006, section 408 permits that the advantage and loss of Hisco has not yet been displayed in the latter financial enunciations. The company is defined as an open limited form of an associations and it is recorded on the London Stock Exchange and the Johannesburg Stock Exchange at the same time despite o</w:t>
      </w:r>
      <w:r>
        <w:rPr>
          <w:rFonts w:ascii="Times New Roman" w:hAnsi="Times New Roman" w:cs="Times New Roman"/>
          <w:sz w:val="24"/>
          <w:szCs w:val="24"/>
        </w:rPr>
        <w:t>perating in the United Kingdom.</w:t>
      </w:r>
    </w:p>
    <w:p w:rsidR="00382360" w:rsidRPr="00382360" w:rsidRDefault="00382360" w:rsidP="00382360">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Remote Fiscal Structures</w:t>
      </w:r>
    </w:p>
    <w:p w:rsid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Sterling pound is the company’s basic cash unit. For this matter, it implies that whatever trades that give in fiscal structures different from the sterling are extracted at the rate of exchange seen in the date of the trade. Those assets and liabilities that get conveyed in structures related to money but not the sterling are generated at the rates of exchange choice at the end of the year related to the cash. The entire exchange complexities are considered in the benefit and incident record of the year.</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Pay; payments and wages of other kinds are included in the advantage and setback account right when all official lawsuits, as well as other affirmation conditions, have been adhered to. Rewards are made for dreadful and awful commitments.</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Interest Groups; these associations are communicated at cost, and with resulting capital duties, though less the courses of action for an</w:t>
      </w:r>
      <w:r>
        <w:rPr>
          <w:rFonts w:ascii="Times New Roman" w:hAnsi="Times New Roman" w:cs="Times New Roman"/>
          <w:sz w:val="24"/>
          <w:szCs w:val="24"/>
        </w:rPr>
        <w:t>y incapacitation when suitable.</w:t>
      </w:r>
    </w:p>
    <w:p w:rsidR="00382360" w:rsidRPr="00382360" w:rsidRDefault="00382360" w:rsidP="00382360">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ab/>
      </w:r>
      <w:r w:rsidRPr="00382360">
        <w:rPr>
          <w:rFonts w:ascii="Times New Roman" w:hAnsi="Times New Roman" w:cs="Times New Roman"/>
          <w:sz w:val="24"/>
          <w:szCs w:val="24"/>
        </w:rPr>
        <w:t>Benefits; the sub-divisions of the final benefits of the shareholders of the company are considered as hazardous in budgetary clarifications especially in the times when these benefits are primarily supported by the company’s shareholders while as the break benefits are evident in the period when the benefits are proclaimed and paid. Similarly, the benefit of compensation is realized when the association making the payment finds the commitment to m</w:t>
      </w:r>
      <w:r>
        <w:rPr>
          <w:rFonts w:ascii="Times New Roman" w:hAnsi="Times New Roman" w:cs="Times New Roman"/>
          <w:sz w:val="24"/>
          <w:szCs w:val="24"/>
        </w:rPr>
        <w:t>ake a benefit payment.</w:t>
      </w:r>
    </w:p>
    <w:p w:rsid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Repurchase of share capital; immediately share capital is repurchased, the measure of thought paid (alleged inferable costs) is exhibited like thinking from esteem. Offers that are repurchased are not scratched off rather shares purchased for the laborer’s share ownership trusts are referred to as treasury shares and are presented on board as a co</w:t>
      </w:r>
      <w:r>
        <w:rPr>
          <w:rFonts w:ascii="Times New Roman" w:hAnsi="Times New Roman" w:cs="Times New Roman"/>
          <w:sz w:val="24"/>
          <w:szCs w:val="24"/>
        </w:rPr>
        <w:t>nclusion form the total esteem.</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Related social occasions; the exemption under the FRS 101 has been neglected by the company and the uncovered trade with social-related occasions that had a helper of the British American Tobacco company got accumulated.</w:t>
      </w:r>
    </w:p>
    <w:p w:rsidR="00382360" w:rsidRPr="00382360" w:rsidRDefault="00382360" w:rsidP="00382360">
      <w:pPr>
        <w:spacing w:after="100" w:line="480" w:lineRule="auto"/>
        <w:rPr>
          <w:rFonts w:ascii="Times New Roman" w:hAnsi="Times New Roman" w:cs="Times New Roman"/>
          <w:sz w:val="24"/>
          <w:szCs w:val="24"/>
        </w:rPr>
      </w:pPr>
      <w:r w:rsidRPr="00382360">
        <w:rPr>
          <w:rFonts w:ascii="Times New Roman" w:hAnsi="Times New Roman" w:cs="Times New Roman"/>
          <w:sz w:val="24"/>
          <w:szCs w:val="24"/>
        </w:rPr>
        <w:t>Cash related instruments; initially, these are recorded at sensible regard and get to be passed on at a sensible regard which is less of found amortization.</w:t>
      </w:r>
    </w:p>
    <w:p w:rsidR="00382360" w:rsidRPr="00382360" w:rsidRDefault="00382360" w:rsidP="00382360">
      <w:pPr>
        <w:spacing w:before="0" w:beforeAutospacing="0" w:after="0" w:afterAutospacing="0" w:line="390" w:lineRule="atLeast"/>
        <w:ind w:firstLine="0"/>
        <w:jc w:val="center"/>
        <w:rPr>
          <w:rFonts w:ascii="inherit" w:eastAsia="Times New Roman" w:hAnsi="inherit" w:cs="Times New Roman"/>
          <w:sz w:val="20"/>
          <w:szCs w:val="20"/>
        </w:rPr>
      </w:pPr>
      <w:r w:rsidRPr="00382360">
        <w:rPr>
          <w:rFonts w:ascii="Times New Roman" w:eastAsia="Times New Roman" w:hAnsi="Times New Roman" w:cs="Times New Roman"/>
          <w:sz w:val="24"/>
          <w:szCs w:val="24"/>
          <w:bdr w:val="none" w:sz="0" w:space="0" w:color="auto" w:frame="1"/>
        </w:rPr>
        <w:t>Management Discussion and Analysis</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Hisco Corporation has its financial reports made up of aggregate products and service portfolios. Looking into the current investigation that factors budgetary data, data that is the primary is that obtained from combined data that can’t be noticed in money related disclosures aligned as per the legal provisions of the U.S. and professional adhering and standards of bookkeeping – GAAP (DeGennaro, 2017). Being aware of these measures, this annual report is consistent with supplemental clarifications and compromises for that matter.</w:t>
      </w:r>
    </w:p>
    <w:p w:rsidR="00382360" w:rsidRPr="00382360" w:rsidRDefault="00382360" w:rsidP="00382360">
      <w:pPr>
        <w:spacing w:before="0" w:beforeAutospacing="0" w:after="0" w:afterAutospacing="0" w:line="390" w:lineRule="atLeast"/>
        <w:ind w:firstLine="0"/>
        <w:rPr>
          <w:rFonts w:ascii="inherit" w:eastAsia="Times New Roman" w:hAnsi="inherit" w:cs="Times New Roman"/>
          <w:sz w:val="20"/>
          <w:szCs w:val="20"/>
        </w:rPr>
      </w:pPr>
      <w:r w:rsidRPr="00382360">
        <w:rPr>
          <w:rFonts w:ascii="Times New Roman" w:eastAsia="Times New Roman" w:hAnsi="Times New Roman" w:cs="Times New Roman"/>
          <w:sz w:val="24"/>
          <w:szCs w:val="24"/>
          <w:bdr w:val="none" w:sz="0" w:space="0" w:color="auto" w:frame="1"/>
        </w:rPr>
        <w:t>Discourse</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In an analogous way, the different matters that appear in the aggregated budgetary articulations singles with proceeding operations unless otherwise stated. The aggregate resources discourse prevents conceded pay assessment external claims, recorded as resources for reasons behind unifying accounting presentation in the annual report. Reporting profit per share together with working capital and working income remains supplemental Hisco’s GAAP net income. The working capital and working income include administrative expenses and amortization expenses for the ultimate company benefit aligned in relation to costs and operating expenses for that matter. It is important to note that the working capital and working income summaries are not inclusive of job-related benefits like petty expenses, anticipated profit for planned resources and tragedy compensation. It is our conviction that the report comes out with a clear and greater comprehension of the expenses relating to human resource remuneration and the company’s general financial standpoint.</w:t>
      </w:r>
    </w:p>
    <w:p w:rsidR="00382360" w:rsidRPr="00382360" w:rsidRDefault="00382360" w:rsidP="00382360">
      <w:pPr>
        <w:spacing w:before="0" w:beforeAutospacing="0" w:after="0" w:afterAutospacing="0" w:line="390" w:lineRule="atLeast"/>
        <w:ind w:firstLine="0"/>
        <w:rPr>
          <w:rFonts w:ascii="inherit" w:eastAsia="Times New Roman" w:hAnsi="inherit" w:cs="Times New Roman"/>
          <w:sz w:val="20"/>
          <w:szCs w:val="20"/>
        </w:rPr>
      </w:pPr>
      <w:r w:rsidRPr="00382360">
        <w:rPr>
          <w:rFonts w:ascii="Times New Roman" w:eastAsia="Times New Roman" w:hAnsi="Times New Roman" w:cs="Times New Roman"/>
          <w:sz w:val="24"/>
          <w:szCs w:val="24"/>
          <w:bdr w:val="none" w:sz="0" w:space="0" w:color="auto" w:frame="1"/>
        </w:rPr>
        <w:t>Assessment of risk</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It is very important to come up with a strategy that effectively addresses business risks, remembering that risks cannot be avoided. Hisco assumes a diversified approach and this is apparently very important since it helps the company officials monitor performance and establish whether their operations are tandem to the set goals and objectives. The assessment of risk is done at every plane – personal, business, safety, and regional planes. The duty of risk assessment and hazard appraisal is obligated to the administration of the company together with the risk managers who come into play when coordinating integral manners within departments. The chiefs of hazards have a clear mastery considering their much experience and the close proximity to the company’s central procedures. Additionally, these hazard managers and other persons with related skills possess specific and objectives &amp; goals that are hazard centered in the periodical assessments that match the expectations and standard risk management rules and obligations. The panel for directors for the Hisco Company has complete administration of risk control which focuses on the most probable dangers that might confront the company. Year after the other, administrators and management carry out an analysis of important risks that the organization has to get tackled.</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Important operational and reputational hazards are depicted and an examination made with regard to the chief executive officer availing details that regard operations to the Board at normal board gatherings what is more, at presentations to the board and its advisory groups by the admins of a bad habit, Hisco, and Hisco Chief Risk Officers, general guidance and more, varied workers an evaluation of consistency issues and projects. As Hisco, it is clear to us that businesses succeed when they are able to establish financial data that can be dependable and compliant with the provisions of the law. To Hisco, this ability is enabled via exercising oversight rendered by the company administrators and an immovable attachment to value and responsibility. The financial revelations made in this report are attributed to the dedication of a high kind of financial reporting. All in all, we aspire into embracing the required bookkeeping practices and we commit the company full assets to warrant that the strategies are based on legitimacy and reliability as this is a complete and genuine struggle that shows that the financial moves are accurate and can be depended on. Our organizations get to be reviewed, routinely, by the fellows of our complete corporate administration group on matters relating generally technique and financial execution to consistency and staffing.</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The pioneers of our company do a financial and working framework screening to empower us to notice the opportunities for open doors and worries priory and positioning us to react in an immediate manner. The board of directors gets to supervise the business lead of the administration, and the review committee’s compromising of free executives and supervises our inward control over financial reporting. We continuously analyze the rehearses of our administration using an end goal to upgrade the trust of financial specialists and enhance the general viability of the board. Annual self-assessment and prescribe enhancement executions are conducted by the board and its panels. The lead executive of the organization led 3 meetings of the company autonomous chiefs in the current year aiding us own the full meetings to find coverage for important points. Pay strategies and logistics are hinged to the long haul financial specialists’ premiums. The desire is to keep a spirited arrangement inside controls and methodologies among them inside control over financial reporting and revelation, and the assurance of protected and physical innovation. We enlist, hold, and create a world-class financial group. Internal review of our work by individuals from Corporate Audit Staff considers really many financial, consistency and process change reviews every year. Hisco’s audit committee administers extensions and assesses the general effects that occur after these reviews, and persons form that committee normally attend to the board’s summit.</w:t>
      </w:r>
    </w:p>
    <w:p w:rsidR="00382360" w:rsidRPr="00382360" w:rsidRDefault="00382360" w:rsidP="00382360">
      <w:pPr>
        <w:spacing w:before="0" w:beforeAutospacing="0" w:after="0" w:afterAutospacing="0" w:line="390" w:lineRule="atLeast"/>
        <w:ind w:firstLine="0"/>
        <w:rPr>
          <w:rFonts w:ascii="inherit" w:eastAsia="Times New Roman" w:hAnsi="inherit" w:cs="Times New Roman"/>
          <w:sz w:val="20"/>
          <w:szCs w:val="20"/>
        </w:rPr>
      </w:pPr>
      <w:r w:rsidRPr="00382360">
        <w:rPr>
          <w:rFonts w:ascii="Times New Roman" w:eastAsia="Times New Roman" w:hAnsi="Times New Roman" w:cs="Times New Roman"/>
          <w:sz w:val="24"/>
          <w:szCs w:val="24"/>
          <w:bdr w:val="none" w:sz="0" w:space="0" w:color="auto" w:frame="1"/>
        </w:rPr>
        <w:t>Product flow</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inherit" w:eastAsia="Times New Roman" w:hAnsi="inherit" w:cs="Times New Roman"/>
          <w:sz w:val="24"/>
          <w:szCs w:val="24"/>
          <w:bdr w:val="none" w:sz="0" w:space="0" w:color="auto" w:frame="1"/>
        </w:rPr>
        <w:t>A vital rule that Hisco held is staying as a reliable company that focuses on transparency, quality, and exemplary delivery of service. For that matter, coming together with our partners ascertains certain requirement that is central to our business. Lion’s share of the products of the company are accessible from company stock and are delivered with 24 hours from the most convenient store. That in mind, to lessen lead times, decrease costs, and upgrade capability, Hisco makes use of a superb and professional mixture of personnel and informational systems. The enterprise resource planning for the company has a structure that has 43 personnel at the moment. This is inclusive of accounting, stock management &amp; demand, product research &amp; development, and procurement. This structure represents the company’s focal point of general logistics and support mechanisms. This system makes reports from the perspective of drawing closer masterminds and figures and the number of things that ought to be restocked if the business is to be able to continue staying dependent. In this interface, the personnel of our company intervenes with a key role in the company operations by interpreting data accurately, predicting variations from standards, inventory and order tracking.</w:t>
      </w:r>
    </w:p>
    <w:p w:rsidR="00382360" w:rsidRPr="00382360" w:rsidRDefault="00382360" w:rsidP="00382360">
      <w:pPr>
        <w:spacing w:after="100" w:line="480" w:lineRule="auto"/>
        <w:rPr>
          <w:rFonts w:ascii="inherit" w:eastAsia="Times New Roman" w:hAnsi="inherit" w:cs="Times New Roman"/>
          <w:sz w:val="20"/>
          <w:szCs w:val="20"/>
        </w:rPr>
      </w:pPr>
      <w:r w:rsidRPr="00382360">
        <w:rPr>
          <w:rFonts w:ascii="Times New Roman" w:eastAsia="Times New Roman" w:hAnsi="Times New Roman" w:cs="Times New Roman"/>
          <w:b/>
          <w:bCs/>
          <w:sz w:val="24"/>
          <w:szCs w:val="24"/>
          <w:bdr w:val="none" w:sz="0" w:space="0" w:color="auto" w:frame="1"/>
        </w:rPr>
        <w:t> </w:t>
      </w:r>
    </w:p>
    <w:p w:rsidR="00BA638A" w:rsidRDefault="00BA638A" w:rsidP="00382360">
      <w:pPr>
        <w:spacing w:after="100" w:line="480" w:lineRule="auto"/>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382360" w:rsidRDefault="00382360" w:rsidP="00BA638A">
      <w:pPr>
        <w:spacing w:after="100" w:line="480" w:lineRule="auto"/>
        <w:ind w:firstLine="0"/>
        <w:rPr>
          <w:rFonts w:ascii="Times New Roman" w:hAnsi="Times New Roman" w:cs="Times New Roman"/>
          <w:b/>
          <w:sz w:val="24"/>
          <w:szCs w:val="24"/>
        </w:rPr>
      </w:pPr>
    </w:p>
    <w:p w:rsidR="00382360" w:rsidRDefault="00382360" w:rsidP="00BA638A">
      <w:pPr>
        <w:spacing w:after="100" w:line="480" w:lineRule="auto"/>
        <w:ind w:firstLine="0"/>
        <w:rPr>
          <w:rFonts w:ascii="Times New Roman" w:hAnsi="Times New Roman" w:cs="Times New Roman"/>
          <w:b/>
          <w:sz w:val="24"/>
          <w:szCs w:val="24"/>
        </w:rPr>
      </w:pPr>
      <w:bookmarkStart w:id="0" w:name="_GoBack"/>
      <w:bookmarkEnd w:id="0"/>
    </w:p>
    <w:p w:rsidR="00BA638A" w:rsidRDefault="00BA638A" w:rsidP="00BA638A">
      <w:pPr>
        <w:spacing w:after="100" w:line="480" w:lineRule="auto"/>
        <w:ind w:firstLine="0"/>
        <w:rPr>
          <w:rFonts w:ascii="Times New Roman" w:hAnsi="Times New Roman" w:cs="Times New Roman"/>
          <w:b/>
          <w:sz w:val="24"/>
          <w:szCs w:val="24"/>
        </w:rPr>
      </w:pPr>
    </w:p>
    <w:p w:rsidR="008B1A15" w:rsidRPr="004D70B4" w:rsidRDefault="008B1A15" w:rsidP="00BA638A">
      <w:pPr>
        <w:spacing w:after="100" w:line="480" w:lineRule="auto"/>
        <w:ind w:firstLine="0"/>
        <w:jc w:val="center"/>
        <w:rPr>
          <w:rFonts w:ascii="Times New Roman" w:hAnsi="Times New Roman" w:cs="Times New Roman"/>
          <w:b/>
          <w:sz w:val="24"/>
          <w:szCs w:val="24"/>
        </w:rPr>
      </w:pPr>
      <w:r w:rsidRPr="004D70B4">
        <w:rPr>
          <w:rFonts w:ascii="Times New Roman" w:hAnsi="Times New Roman" w:cs="Times New Roman"/>
          <w:b/>
          <w:sz w:val="24"/>
          <w:szCs w:val="24"/>
        </w:rPr>
        <w:t>Appendices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#1. Abbreviations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CEO</w:t>
      </w:r>
      <w:r w:rsidRPr="004D70B4">
        <w:rPr>
          <w:rFonts w:ascii="Times New Roman" w:hAnsi="Times New Roman" w:cs="Times New Roman"/>
          <w:sz w:val="24"/>
          <w:szCs w:val="24"/>
        </w:rPr>
        <w:tab/>
        <w:t>Chief Executive Officers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ERP</w:t>
      </w:r>
      <w:r w:rsidRPr="004D70B4">
        <w:rPr>
          <w:rFonts w:ascii="Times New Roman" w:hAnsi="Times New Roman" w:cs="Times New Roman"/>
          <w:sz w:val="24"/>
          <w:szCs w:val="24"/>
        </w:rPr>
        <w:tab/>
        <w:t>Enterprise Resource Planning</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EU</w:t>
      </w:r>
      <w:r w:rsidRPr="004D70B4">
        <w:rPr>
          <w:rFonts w:ascii="Times New Roman" w:hAnsi="Times New Roman" w:cs="Times New Roman"/>
          <w:sz w:val="24"/>
          <w:szCs w:val="24"/>
        </w:rPr>
        <w:tab/>
        <w:t>European Union</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GAAP</w:t>
      </w:r>
      <w:r w:rsidRPr="004D70B4">
        <w:rPr>
          <w:rFonts w:ascii="Times New Roman" w:hAnsi="Times New Roman" w:cs="Times New Roman"/>
          <w:sz w:val="24"/>
          <w:szCs w:val="24"/>
        </w:rPr>
        <w:tab/>
        <w:t>Generally Accepted Accounting Principles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IFRS</w:t>
      </w:r>
      <w:r w:rsidRPr="004D70B4">
        <w:rPr>
          <w:rFonts w:ascii="Times New Roman" w:hAnsi="Times New Roman" w:cs="Times New Roman"/>
          <w:sz w:val="24"/>
          <w:szCs w:val="24"/>
        </w:rPr>
        <w:tab/>
        <w:t>International Financial Reporting Standards</w:t>
      </w:r>
    </w:p>
    <w:p w:rsidR="008B1A15"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SEC</w:t>
      </w:r>
      <w:r w:rsidRPr="004D70B4">
        <w:rPr>
          <w:rFonts w:ascii="Times New Roman" w:hAnsi="Times New Roman" w:cs="Times New Roman"/>
          <w:sz w:val="24"/>
          <w:szCs w:val="24"/>
        </w:rPr>
        <w:tab/>
        <w:t>Securities and Exchanges Commission</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#2.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When an important figure fails to fit into the standard plans of a cash related announcement, then it stands to be combined as a note. This way, anything that might affect a money related position of a business has to be recorded. The three basic types of notes are: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Methodology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This is the exchange of the bookkeeping pages that are used by an affiliation. A good example is accumulating reason of bookkeeping versus money present of bookkeeping.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Contingent Liabilities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Conditions that have happened as of the revelation date and which address potential money related duties must be recorded by sort and assessed entirety. Diagram: A specialist cosigns an affirmed receipt. In the event that the key borrower ought to default, the business visionary who cosigned would persuade the chance to be at danger.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Required Disclosures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It is vital that each essential data about the affiliation be portrayed in a revelation declare. Case: If the business has changed bookkeeping strategies since the last bookkeeping time designation, the change must be delineated</w:t>
      </w:r>
      <w:r w:rsidR="009F08D0">
        <w:rPr>
          <w:rFonts w:ascii="Times New Roman" w:hAnsi="Times New Roman" w:cs="Times New Roman"/>
          <w:sz w:val="24"/>
          <w:szCs w:val="24"/>
        </w:rPr>
        <w:t xml:space="preserve"> (</w:t>
      </w:r>
      <w:r w:rsidR="009F08D0" w:rsidRPr="004D70B4">
        <w:rPr>
          <w:rFonts w:ascii="Times New Roman" w:hAnsi="Times New Roman" w:cs="Times New Roman"/>
          <w:sz w:val="24"/>
          <w:szCs w:val="24"/>
        </w:rPr>
        <w:t>Toudas</w:t>
      </w:r>
      <w:r w:rsidR="009F08D0">
        <w:rPr>
          <w:rFonts w:ascii="Times New Roman" w:hAnsi="Times New Roman" w:cs="Times New Roman"/>
          <w:sz w:val="24"/>
          <w:szCs w:val="24"/>
        </w:rPr>
        <w:t>, 2018)</w:t>
      </w:r>
      <w:r w:rsidRPr="004D70B4">
        <w:rPr>
          <w:rFonts w:ascii="Times New Roman" w:hAnsi="Times New Roman" w:cs="Times New Roman"/>
          <w:sz w:val="24"/>
          <w:szCs w:val="24"/>
        </w:rPr>
        <w:t xml:space="preserve">. </w:t>
      </w:r>
    </w:p>
    <w:p w:rsidR="00DD1072" w:rsidRPr="004D70B4" w:rsidRDefault="00DD107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Financial ratios</w:t>
      </w:r>
    </w:p>
    <w:p w:rsidR="00DD1072" w:rsidRPr="004D70B4" w:rsidRDefault="00DD107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This allows the verge to understand the relation between spreadsheets and figures</w:t>
      </w:r>
      <w:r w:rsidR="00926D84" w:rsidRPr="004D70B4">
        <w:rPr>
          <w:rFonts w:ascii="Times New Roman" w:hAnsi="Times New Roman" w:cs="Times New Roman"/>
          <w:sz w:val="24"/>
          <w:szCs w:val="24"/>
        </w:rPr>
        <w:t xml:space="preserve">. </w:t>
      </w:r>
    </w:p>
    <w:p w:rsidR="0071699A" w:rsidRPr="009F08D0" w:rsidRDefault="00DD1072" w:rsidP="00BA638A">
      <w:pPr>
        <w:spacing w:after="100" w:line="480" w:lineRule="auto"/>
        <w:ind w:firstLine="0"/>
        <w:rPr>
          <w:rFonts w:ascii="Times New Roman" w:hAnsi="Times New Roman" w:cs="Times New Roman"/>
          <w:b/>
          <w:sz w:val="24"/>
          <w:szCs w:val="24"/>
        </w:rPr>
      </w:pPr>
      <w:r w:rsidRPr="004D70B4">
        <w:rPr>
          <w:rFonts w:ascii="Times New Roman" w:hAnsi="Times New Roman" w:cs="Times New Roman"/>
          <w:sz w:val="24"/>
          <w:szCs w:val="24"/>
        </w:rPr>
        <w:t>In a clear and a precise manner, the moments when money related affiliations have to be figured out, a least probable sign of the affiliation’s cash related qualities and disadvantages comes out unclearly. When looked into after some time, sensible perceptions are realized re</w:t>
      </w:r>
      <w:r w:rsidR="009F08D0">
        <w:rPr>
          <w:rFonts w:ascii="Times New Roman" w:hAnsi="Times New Roman" w:cs="Times New Roman"/>
          <w:sz w:val="24"/>
          <w:szCs w:val="24"/>
        </w:rPr>
        <w:t>lating the business of interest (</w:t>
      </w:r>
      <w:r w:rsidR="009F08D0" w:rsidRPr="004D70B4">
        <w:rPr>
          <w:rFonts w:ascii="Times New Roman" w:hAnsi="Times New Roman" w:cs="Times New Roman"/>
          <w:sz w:val="24"/>
          <w:szCs w:val="24"/>
        </w:rPr>
        <w:t>Toudas</w:t>
      </w:r>
      <w:r w:rsidR="009F08D0">
        <w:rPr>
          <w:rFonts w:ascii="Times New Roman" w:hAnsi="Times New Roman" w:cs="Times New Roman"/>
          <w:sz w:val="24"/>
          <w:szCs w:val="24"/>
        </w:rPr>
        <w:t xml:space="preserve">, 2018). </w:t>
      </w: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411F45" w:rsidRPr="004D70B4" w:rsidRDefault="004D70B4" w:rsidP="00BA638A">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References</w:t>
      </w:r>
    </w:p>
    <w:p w:rsidR="004D70B4" w:rsidRPr="004D70B4" w:rsidRDefault="004D70B4" w:rsidP="00BA638A">
      <w:pPr>
        <w:spacing w:after="100" w:line="480" w:lineRule="auto"/>
        <w:ind w:left="720" w:hanging="720"/>
        <w:rPr>
          <w:rFonts w:ascii="Times New Roman" w:hAnsi="Times New Roman" w:cs="Times New Roman"/>
          <w:color w:val="222222"/>
          <w:sz w:val="24"/>
          <w:szCs w:val="24"/>
          <w:shd w:val="clear" w:color="auto" w:fill="FFFFFF"/>
        </w:rPr>
      </w:pPr>
      <w:r w:rsidRPr="004D70B4">
        <w:rPr>
          <w:rFonts w:ascii="Times New Roman" w:hAnsi="Times New Roman" w:cs="Times New Roman"/>
          <w:color w:val="222222"/>
          <w:sz w:val="24"/>
          <w:szCs w:val="24"/>
          <w:shd w:val="clear" w:color="auto" w:fill="FFFFFF"/>
        </w:rPr>
        <w:t>Chen, W. (2017). </w:t>
      </w:r>
      <w:r w:rsidRPr="004D70B4">
        <w:rPr>
          <w:rFonts w:ascii="Times New Roman" w:hAnsi="Times New Roman" w:cs="Times New Roman"/>
          <w:i/>
          <w:iCs/>
          <w:color w:val="222222"/>
          <w:sz w:val="24"/>
          <w:szCs w:val="24"/>
          <w:shd w:val="clear" w:color="auto" w:fill="FFFFFF"/>
        </w:rPr>
        <w:t>A comparative study of funding shareholder litigation</w:t>
      </w:r>
      <w:r w:rsidRPr="004D70B4">
        <w:rPr>
          <w:rFonts w:ascii="Times New Roman" w:hAnsi="Times New Roman" w:cs="Times New Roman"/>
          <w:color w:val="222222"/>
          <w:sz w:val="24"/>
          <w:szCs w:val="24"/>
          <w:shd w:val="clear" w:color="auto" w:fill="FFFFFF"/>
        </w:rPr>
        <w:t>. Springer.</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sz w:val="24"/>
          <w:szCs w:val="24"/>
        </w:rPr>
        <w:t>DeGennaro, M. (2017). An Economic Comparison of US GAAP and IFRS. Journal of International Business and Law, 16(2), 7.</w:t>
      </w:r>
    </w:p>
    <w:p w:rsidR="00BA638A" w:rsidRDefault="00BA638A" w:rsidP="00BA638A">
      <w:pPr>
        <w:spacing w:after="100" w:line="480" w:lineRule="auto"/>
        <w:ind w:left="720" w:hanging="720"/>
        <w:rPr>
          <w:rFonts w:ascii="Times New Roman" w:hAnsi="Times New Roman" w:cs="Times New Roman"/>
          <w:sz w:val="24"/>
          <w:szCs w:val="24"/>
        </w:rPr>
      </w:pPr>
      <w:r w:rsidRPr="00543A8A">
        <w:rPr>
          <w:rFonts w:ascii="Times New Roman" w:hAnsi="Times New Roman" w:cs="Times New Roman"/>
          <w:sz w:val="24"/>
          <w:szCs w:val="24"/>
        </w:rPr>
        <w:t>Kannan, P. K. (2017). Digital marketing: A framework, review and research agenda. </w:t>
      </w:r>
      <w:r w:rsidRPr="00543A8A">
        <w:rPr>
          <w:rFonts w:ascii="Times New Roman" w:hAnsi="Times New Roman" w:cs="Times New Roman"/>
          <w:i/>
          <w:iCs/>
          <w:sz w:val="24"/>
          <w:szCs w:val="24"/>
        </w:rPr>
        <w:t>International Journal of Research in Marketing</w:t>
      </w:r>
      <w:r w:rsidRPr="00543A8A">
        <w:rPr>
          <w:rFonts w:ascii="Times New Roman" w:hAnsi="Times New Roman" w:cs="Times New Roman"/>
          <w:sz w:val="24"/>
          <w:szCs w:val="24"/>
        </w:rPr>
        <w:t>, </w:t>
      </w:r>
      <w:r w:rsidRPr="00543A8A">
        <w:rPr>
          <w:rFonts w:ascii="Times New Roman" w:hAnsi="Times New Roman" w:cs="Times New Roman"/>
          <w:i/>
          <w:iCs/>
          <w:sz w:val="24"/>
          <w:szCs w:val="24"/>
        </w:rPr>
        <w:t>34</w:t>
      </w:r>
      <w:r w:rsidRPr="00543A8A">
        <w:rPr>
          <w:rFonts w:ascii="Times New Roman" w:hAnsi="Times New Roman" w:cs="Times New Roman"/>
          <w:sz w:val="24"/>
          <w:szCs w:val="24"/>
        </w:rPr>
        <w:t>(1), 22-45.</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color w:val="222222"/>
          <w:sz w:val="24"/>
          <w:szCs w:val="24"/>
          <w:shd w:val="clear" w:color="auto" w:fill="FFFFFF"/>
        </w:rPr>
        <w:t>Kieso, D. E., Weygandt, J. J., &amp; Warfield, T. D. (2019). </w:t>
      </w:r>
      <w:r w:rsidRPr="004D70B4">
        <w:rPr>
          <w:rFonts w:ascii="Times New Roman" w:hAnsi="Times New Roman" w:cs="Times New Roman"/>
          <w:i/>
          <w:iCs/>
          <w:color w:val="222222"/>
          <w:sz w:val="24"/>
          <w:szCs w:val="24"/>
          <w:shd w:val="clear" w:color="auto" w:fill="FFFFFF"/>
        </w:rPr>
        <w:t>Intermediate accounting</w:t>
      </w:r>
      <w:r w:rsidRPr="004D70B4">
        <w:rPr>
          <w:rFonts w:ascii="Times New Roman" w:hAnsi="Times New Roman" w:cs="Times New Roman"/>
          <w:color w:val="222222"/>
          <w:sz w:val="24"/>
          <w:szCs w:val="24"/>
          <w:shd w:val="clear" w:color="auto" w:fill="FFFFFF"/>
        </w:rPr>
        <w:t>. John Wiley &amp; Sons.</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sz w:val="24"/>
          <w:szCs w:val="24"/>
        </w:rPr>
        <w:t>Toudas, K. (2018). The International Standards on Auditing as a Convergence Parameter Between US GAAP and IFRS. Corporate Board: Role, Duties &amp; Composition, 14(3).</w:t>
      </w:r>
    </w:p>
    <w:sectPr w:rsidR="004D70B4" w:rsidRPr="004D70B4" w:rsidSect="00C1712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CE6" w:rsidRDefault="00F23CE6" w:rsidP="00C17128">
      <w:pPr>
        <w:spacing w:before="0" w:after="0" w:line="240" w:lineRule="auto"/>
      </w:pPr>
      <w:r>
        <w:separator/>
      </w:r>
    </w:p>
  </w:endnote>
  <w:endnote w:type="continuationSeparator" w:id="0">
    <w:p w:rsidR="00F23CE6" w:rsidRDefault="00F23CE6" w:rsidP="00C171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CE6" w:rsidRDefault="00F23CE6" w:rsidP="00C17128">
      <w:pPr>
        <w:spacing w:before="0" w:after="0" w:line="240" w:lineRule="auto"/>
      </w:pPr>
      <w:r>
        <w:separator/>
      </w:r>
    </w:p>
  </w:footnote>
  <w:footnote w:type="continuationSeparator" w:id="0">
    <w:p w:rsidR="00F23CE6" w:rsidRDefault="00F23CE6" w:rsidP="00C1712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9732904"/>
      <w:docPartObj>
        <w:docPartGallery w:val="Page Numbers (Top of Page)"/>
        <w:docPartUnique/>
      </w:docPartObj>
    </w:sdtPr>
    <w:sdtEndPr>
      <w:rPr>
        <w:rFonts w:ascii="Times New Roman" w:hAnsi="Times New Roman" w:cs="Times New Roman"/>
        <w:noProof/>
        <w:sz w:val="24"/>
        <w:szCs w:val="24"/>
      </w:rPr>
    </w:sdtEndPr>
    <w:sdtContent>
      <w:p w:rsidR="00C17128" w:rsidRPr="00C17128" w:rsidRDefault="00C17128" w:rsidP="00C17128">
        <w:pPr>
          <w:pStyle w:val="Header"/>
          <w:ind w:firstLine="0"/>
          <w:rPr>
            <w:rFonts w:ascii="Times New Roman" w:hAnsi="Times New Roman" w:cs="Times New Roman"/>
            <w:sz w:val="24"/>
            <w:szCs w:val="24"/>
          </w:rPr>
        </w:pPr>
        <w:r w:rsidRPr="00C17128">
          <w:rPr>
            <w:rFonts w:ascii="Times New Roman" w:hAnsi="Times New Roman" w:cs="Times New Roman"/>
            <w:sz w:val="24"/>
            <w:szCs w:val="24"/>
          </w:rPr>
          <w:t xml:space="preserve">HISCO’S ANNUAL REPORT </w:t>
        </w:r>
        <w:r>
          <w:rPr>
            <w:rFonts w:ascii="Times New Roman" w:hAnsi="Times New Roman" w:cs="Times New Roman"/>
            <w:sz w:val="24"/>
            <w:szCs w:val="24"/>
          </w:rPr>
          <w:tab/>
        </w:r>
        <w:r>
          <w:rPr>
            <w:rFonts w:ascii="Times New Roman" w:hAnsi="Times New Roman" w:cs="Times New Roman"/>
            <w:sz w:val="24"/>
            <w:szCs w:val="24"/>
          </w:rPr>
          <w:tab/>
        </w:r>
        <w:r w:rsidRPr="00C17128">
          <w:rPr>
            <w:rFonts w:ascii="Times New Roman" w:hAnsi="Times New Roman" w:cs="Times New Roman"/>
            <w:sz w:val="24"/>
            <w:szCs w:val="24"/>
          </w:rPr>
          <w:fldChar w:fldCharType="begin"/>
        </w:r>
        <w:r w:rsidRPr="00C17128">
          <w:rPr>
            <w:rFonts w:ascii="Times New Roman" w:hAnsi="Times New Roman" w:cs="Times New Roman"/>
            <w:sz w:val="24"/>
            <w:szCs w:val="24"/>
          </w:rPr>
          <w:instrText xml:space="preserve"> PAGE   \* MERGEFORMAT </w:instrText>
        </w:r>
        <w:r w:rsidRPr="00C17128">
          <w:rPr>
            <w:rFonts w:ascii="Times New Roman" w:hAnsi="Times New Roman" w:cs="Times New Roman"/>
            <w:sz w:val="24"/>
            <w:szCs w:val="24"/>
          </w:rPr>
          <w:fldChar w:fldCharType="separate"/>
        </w:r>
        <w:r w:rsidR="00382360">
          <w:rPr>
            <w:rFonts w:ascii="Times New Roman" w:hAnsi="Times New Roman" w:cs="Times New Roman"/>
            <w:noProof/>
            <w:sz w:val="24"/>
            <w:szCs w:val="24"/>
          </w:rPr>
          <w:t>21</w:t>
        </w:r>
        <w:r w:rsidRPr="00C17128">
          <w:rPr>
            <w:rFonts w:ascii="Times New Roman" w:hAnsi="Times New Roman" w:cs="Times New Roman"/>
            <w:noProof/>
            <w:sz w:val="24"/>
            <w:szCs w:val="24"/>
          </w:rPr>
          <w:fldChar w:fldCharType="end"/>
        </w:r>
      </w:p>
    </w:sdtContent>
  </w:sdt>
  <w:p w:rsidR="00C17128" w:rsidRPr="00C17128" w:rsidRDefault="00C17128" w:rsidP="00C17128">
    <w:pPr>
      <w:pStyle w:val="Header"/>
      <w:ind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390714"/>
      <w:docPartObj>
        <w:docPartGallery w:val="Page Numbers (Top of Page)"/>
        <w:docPartUnique/>
      </w:docPartObj>
    </w:sdtPr>
    <w:sdtEndPr>
      <w:rPr>
        <w:rFonts w:ascii="Times New Roman" w:hAnsi="Times New Roman" w:cs="Times New Roman"/>
        <w:noProof/>
        <w:sz w:val="24"/>
        <w:szCs w:val="24"/>
      </w:rPr>
    </w:sdtEndPr>
    <w:sdtContent>
      <w:p w:rsidR="00C17128" w:rsidRPr="00C17128" w:rsidRDefault="00C17128" w:rsidP="00C17128">
        <w:pPr>
          <w:pStyle w:val="Header"/>
          <w:ind w:firstLine="0"/>
          <w:rPr>
            <w:rFonts w:ascii="Times New Roman" w:hAnsi="Times New Roman" w:cs="Times New Roman"/>
            <w:sz w:val="24"/>
            <w:szCs w:val="24"/>
          </w:rPr>
        </w:pPr>
        <w:r w:rsidRPr="00C17128">
          <w:rPr>
            <w:rFonts w:ascii="Times New Roman" w:hAnsi="Times New Roman" w:cs="Times New Roman"/>
            <w:sz w:val="24"/>
            <w:szCs w:val="24"/>
          </w:rPr>
          <w:t xml:space="preserve">Running Head: HISCO’S ANNUAL REPORT </w:t>
        </w:r>
        <w:r>
          <w:rPr>
            <w:rFonts w:ascii="Times New Roman" w:hAnsi="Times New Roman" w:cs="Times New Roman"/>
            <w:sz w:val="24"/>
            <w:szCs w:val="24"/>
          </w:rPr>
          <w:tab/>
        </w:r>
        <w:r>
          <w:rPr>
            <w:rFonts w:ascii="Times New Roman" w:hAnsi="Times New Roman" w:cs="Times New Roman"/>
            <w:sz w:val="24"/>
            <w:szCs w:val="24"/>
          </w:rPr>
          <w:tab/>
        </w:r>
        <w:r w:rsidRPr="00C17128">
          <w:rPr>
            <w:rFonts w:ascii="Times New Roman" w:hAnsi="Times New Roman" w:cs="Times New Roman"/>
            <w:sz w:val="24"/>
            <w:szCs w:val="24"/>
          </w:rPr>
          <w:fldChar w:fldCharType="begin"/>
        </w:r>
        <w:r w:rsidRPr="00C17128">
          <w:rPr>
            <w:rFonts w:ascii="Times New Roman" w:hAnsi="Times New Roman" w:cs="Times New Roman"/>
            <w:sz w:val="24"/>
            <w:szCs w:val="24"/>
          </w:rPr>
          <w:instrText xml:space="preserve"> PAGE   \* MERGEFORMAT </w:instrText>
        </w:r>
        <w:r w:rsidRPr="00C17128">
          <w:rPr>
            <w:rFonts w:ascii="Times New Roman" w:hAnsi="Times New Roman" w:cs="Times New Roman"/>
            <w:sz w:val="24"/>
            <w:szCs w:val="24"/>
          </w:rPr>
          <w:fldChar w:fldCharType="separate"/>
        </w:r>
        <w:r w:rsidR="00F23CE6">
          <w:rPr>
            <w:rFonts w:ascii="Times New Roman" w:hAnsi="Times New Roman" w:cs="Times New Roman"/>
            <w:noProof/>
            <w:sz w:val="24"/>
            <w:szCs w:val="24"/>
          </w:rPr>
          <w:t>1</w:t>
        </w:r>
        <w:r w:rsidRPr="00C1712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C03587"/>
    <w:multiLevelType w:val="hybridMultilevel"/>
    <w:tmpl w:val="772678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671C9E"/>
    <w:multiLevelType w:val="hybridMultilevel"/>
    <w:tmpl w:val="31A04D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E36"/>
    <w:rsid w:val="00093721"/>
    <w:rsid w:val="00137400"/>
    <w:rsid w:val="00163573"/>
    <w:rsid w:val="00166A2B"/>
    <w:rsid w:val="0018726D"/>
    <w:rsid w:val="001E1E4F"/>
    <w:rsid w:val="001E69A1"/>
    <w:rsid w:val="00201925"/>
    <w:rsid w:val="0024184F"/>
    <w:rsid w:val="00275762"/>
    <w:rsid w:val="002B7FB6"/>
    <w:rsid w:val="002C4699"/>
    <w:rsid w:val="002C4A9C"/>
    <w:rsid w:val="00335FE1"/>
    <w:rsid w:val="00371E28"/>
    <w:rsid w:val="00382360"/>
    <w:rsid w:val="003A497E"/>
    <w:rsid w:val="003B012F"/>
    <w:rsid w:val="003C0949"/>
    <w:rsid w:val="003C14B4"/>
    <w:rsid w:val="00411F45"/>
    <w:rsid w:val="00456959"/>
    <w:rsid w:val="004967E3"/>
    <w:rsid w:val="004C3137"/>
    <w:rsid w:val="004D70B4"/>
    <w:rsid w:val="0051411E"/>
    <w:rsid w:val="00515DAC"/>
    <w:rsid w:val="005241A7"/>
    <w:rsid w:val="00570B8C"/>
    <w:rsid w:val="0058569A"/>
    <w:rsid w:val="005A793F"/>
    <w:rsid w:val="005B3995"/>
    <w:rsid w:val="00602166"/>
    <w:rsid w:val="006765DD"/>
    <w:rsid w:val="00690E09"/>
    <w:rsid w:val="0071699A"/>
    <w:rsid w:val="00733E33"/>
    <w:rsid w:val="00735FAA"/>
    <w:rsid w:val="0076068D"/>
    <w:rsid w:val="0078072D"/>
    <w:rsid w:val="0079327A"/>
    <w:rsid w:val="008016F2"/>
    <w:rsid w:val="00843F61"/>
    <w:rsid w:val="008936A4"/>
    <w:rsid w:val="008B1A15"/>
    <w:rsid w:val="008C7CA2"/>
    <w:rsid w:val="008F0737"/>
    <w:rsid w:val="008F447D"/>
    <w:rsid w:val="00912686"/>
    <w:rsid w:val="00926D84"/>
    <w:rsid w:val="00951345"/>
    <w:rsid w:val="00966E36"/>
    <w:rsid w:val="00967484"/>
    <w:rsid w:val="00982A33"/>
    <w:rsid w:val="009C2F0E"/>
    <w:rsid w:val="009C4075"/>
    <w:rsid w:val="009F08D0"/>
    <w:rsid w:val="009F2300"/>
    <w:rsid w:val="009F6990"/>
    <w:rsid w:val="00A31003"/>
    <w:rsid w:val="00A92198"/>
    <w:rsid w:val="00AC73FF"/>
    <w:rsid w:val="00B71212"/>
    <w:rsid w:val="00B72725"/>
    <w:rsid w:val="00B902C4"/>
    <w:rsid w:val="00BA638A"/>
    <w:rsid w:val="00BF46E2"/>
    <w:rsid w:val="00C069C6"/>
    <w:rsid w:val="00C17128"/>
    <w:rsid w:val="00C816B5"/>
    <w:rsid w:val="00C94CA6"/>
    <w:rsid w:val="00C96555"/>
    <w:rsid w:val="00CA2C2D"/>
    <w:rsid w:val="00CB5585"/>
    <w:rsid w:val="00CE12C8"/>
    <w:rsid w:val="00D0098F"/>
    <w:rsid w:val="00D13D72"/>
    <w:rsid w:val="00D21285"/>
    <w:rsid w:val="00D328A8"/>
    <w:rsid w:val="00D62815"/>
    <w:rsid w:val="00DD1072"/>
    <w:rsid w:val="00E02A83"/>
    <w:rsid w:val="00E20724"/>
    <w:rsid w:val="00E31751"/>
    <w:rsid w:val="00E66452"/>
    <w:rsid w:val="00E87B55"/>
    <w:rsid w:val="00E972C5"/>
    <w:rsid w:val="00F062F1"/>
    <w:rsid w:val="00F07DC9"/>
    <w:rsid w:val="00F23CE6"/>
    <w:rsid w:val="00F452A7"/>
    <w:rsid w:val="00FA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50386-EB40-4A89-A4F7-E51CAE38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7E3"/>
    <w:pPr>
      <w:ind w:left="720"/>
      <w:contextualSpacing/>
    </w:pPr>
  </w:style>
  <w:style w:type="paragraph" w:styleId="Header">
    <w:name w:val="header"/>
    <w:basedOn w:val="Normal"/>
    <w:link w:val="HeaderChar"/>
    <w:uiPriority w:val="99"/>
    <w:unhideWhenUsed/>
    <w:rsid w:val="00C171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17128"/>
  </w:style>
  <w:style w:type="paragraph" w:styleId="Footer">
    <w:name w:val="footer"/>
    <w:basedOn w:val="Normal"/>
    <w:link w:val="FooterChar"/>
    <w:uiPriority w:val="99"/>
    <w:unhideWhenUsed/>
    <w:rsid w:val="00C171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17128"/>
  </w:style>
  <w:style w:type="character" w:customStyle="1" w:styleId="mceitemhidden">
    <w:name w:val="mceitemhidden"/>
    <w:basedOn w:val="DefaultParagraphFont"/>
    <w:rsid w:val="009C4075"/>
  </w:style>
  <w:style w:type="character" w:customStyle="1" w:styleId="mceitemhiddenspellword">
    <w:name w:val="mceitemhiddenspellword"/>
    <w:basedOn w:val="DefaultParagraphFont"/>
    <w:rsid w:val="009C4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7091">
      <w:bodyDiv w:val="1"/>
      <w:marLeft w:val="0"/>
      <w:marRight w:val="0"/>
      <w:marTop w:val="0"/>
      <w:marBottom w:val="0"/>
      <w:divBdr>
        <w:top w:val="none" w:sz="0" w:space="0" w:color="auto"/>
        <w:left w:val="none" w:sz="0" w:space="0" w:color="auto"/>
        <w:bottom w:val="none" w:sz="0" w:space="0" w:color="auto"/>
        <w:right w:val="none" w:sz="0" w:space="0" w:color="auto"/>
      </w:divBdr>
    </w:div>
    <w:div w:id="740714039">
      <w:bodyDiv w:val="1"/>
      <w:marLeft w:val="0"/>
      <w:marRight w:val="0"/>
      <w:marTop w:val="0"/>
      <w:marBottom w:val="0"/>
      <w:divBdr>
        <w:top w:val="none" w:sz="0" w:space="0" w:color="auto"/>
        <w:left w:val="none" w:sz="0" w:space="0" w:color="auto"/>
        <w:bottom w:val="none" w:sz="0" w:space="0" w:color="auto"/>
        <w:right w:val="none" w:sz="0" w:space="0" w:color="auto"/>
      </w:divBdr>
    </w:div>
    <w:div w:id="1248535792">
      <w:bodyDiv w:val="1"/>
      <w:marLeft w:val="0"/>
      <w:marRight w:val="0"/>
      <w:marTop w:val="0"/>
      <w:marBottom w:val="0"/>
      <w:divBdr>
        <w:top w:val="none" w:sz="0" w:space="0" w:color="auto"/>
        <w:left w:val="none" w:sz="0" w:space="0" w:color="auto"/>
        <w:bottom w:val="none" w:sz="0" w:space="0" w:color="auto"/>
        <w:right w:val="none" w:sz="0" w:space="0" w:color="auto"/>
      </w:divBdr>
    </w:div>
    <w:div w:id="1457480732">
      <w:bodyDiv w:val="1"/>
      <w:marLeft w:val="0"/>
      <w:marRight w:val="0"/>
      <w:marTop w:val="0"/>
      <w:marBottom w:val="0"/>
      <w:divBdr>
        <w:top w:val="none" w:sz="0" w:space="0" w:color="auto"/>
        <w:left w:val="none" w:sz="0" w:space="0" w:color="auto"/>
        <w:bottom w:val="none" w:sz="0" w:space="0" w:color="auto"/>
        <w:right w:val="none" w:sz="0" w:space="0" w:color="auto"/>
      </w:divBdr>
    </w:div>
    <w:div w:id="176595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1470</TotalTime>
  <Pages>21</Pages>
  <Words>4010</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2020-02-05T21:53:00Z</dcterms:created>
  <dcterms:modified xsi:type="dcterms:W3CDTF">2020-02-10T21:48:00Z</dcterms:modified>
</cp:coreProperties>
</file>